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2D8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D697D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4D67F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</w:t>
      </w:r>
    </w:p>
    <w:p w14:paraId="09A5AA2B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DF9E8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Инструкция</w:t>
      </w:r>
    </w:p>
    <w:p w14:paraId="02E8FB4C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</w:t>
      </w:r>
    </w:p>
    <w:p w14:paraId="3EFD470F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для лечения грибковых заболеваний кожи у собак и кошек.</w:t>
      </w:r>
    </w:p>
    <w:p w14:paraId="159BE9FD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(Организация-производитель – АО «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», Россия).</w:t>
      </w:r>
    </w:p>
    <w:p w14:paraId="196C49BB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F6F96C5" w14:textId="77777777" w:rsidR="00B97048" w:rsidRPr="00B97048" w:rsidRDefault="00B97048" w:rsidP="00B9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06F7D6B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5DBF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B97048">
        <w:rPr>
          <w:rFonts w:ascii="Times New Roman" w:hAnsi="Times New Roman" w:cs="Times New Roman"/>
          <w:sz w:val="24"/>
          <w:szCs w:val="24"/>
        </w:rPr>
        <w:t xml:space="preserve"> РК-ВП-4-3699-18 </w:t>
      </w:r>
    </w:p>
    <w:p w14:paraId="2F045B4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, прополис.</w:t>
      </w:r>
    </w:p>
    <w:p w14:paraId="552DEC9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5DDA08C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Fungivet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) крем содержит в 1 г в качестве действующих веществ: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гидрохлорид – 10 мг,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- 1 мг, экстракт прополиса – 40 мг и вспомогательные компоненты: ланолин, масло подсолнечное, воск пчелиный,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метилхлороизотиазолинон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метилизотиазолинон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вода очищенная.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по внешнему виду представляет собой однородную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кремообразную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массу от белого до светло-желтого цвета со специфическим запахом без посторонних включений. Выпускают препарат расфасованным от 50 до 500 г в полимерные флаконы, упакованные в картонные пачки в комплекте с инструкцией по применению. </w:t>
      </w:r>
    </w:p>
    <w:p w14:paraId="108F0B9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5ABD59A7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Крем для наружного применения.</w:t>
      </w:r>
    </w:p>
    <w:p w14:paraId="2D2550C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2A91A26" w14:textId="532EC63A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Противовоспалительное, противогрибковое средство.</w:t>
      </w:r>
    </w:p>
    <w:p w14:paraId="2C5CE0F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22E8627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4DDD2F4E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обладает широким спектром противогрибковой активности, противовоспалительным и ранозаживляющим действием на кожный покров животного. </w:t>
      </w:r>
    </w:p>
    <w:p w14:paraId="396C9277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гидрохлорид относится к группе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аллиламинов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имеет широкий спектр противогрибкового действия. В низких концентрациях обладает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активностью в отношении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дерматофитов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(в т.ч.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rubrum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mentagrophytes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tonsurans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verrucosum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violaceum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Epidermophyton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floccosum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; дрожжеподобных грибов рода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); возбудителя разноцветного лишая (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Malassezia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furfur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). Механизм действия заключается в подавлении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скваленэпоксидазы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в клеточной </w:t>
      </w:r>
      <w:r w:rsidRPr="00B97048">
        <w:rPr>
          <w:rFonts w:ascii="Times New Roman" w:hAnsi="Times New Roman" w:cs="Times New Roman"/>
          <w:sz w:val="24"/>
          <w:szCs w:val="24"/>
        </w:rPr>
        <w:lastRenderedPageBreak/>
        <w:t xml:space="preserve">мембране гриба. Это приводит к дефициту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эргостерола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и внутриклеточному накоплению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сквалена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что вызывает гибель клетки </w:t>
      </w:r>
      <w:proofErr w:type="spellStart"/>
      <w:proofErr w:type="gramStart"/>
      <w:r w:rsidRPr="00B97048">
        <w:rPr>
          <w:rFonts w:ascii="Times New Roman" w:hAnsi="Times New Roman" w:cs="Times New Roman"/>
          <w:sz w:val="24"/>
          <w:szCs w:val="24"/>
        </w:rPr>
        <w:t>возбудителя.Активность</w:t>
      </w:r>
      <w:proofErr w:type="spellEnd"/>
      <w:proofErr w:type="gramEnd"/>
      <w:r w:rsidRPr="00B97048">
        <w:rPr>
          <w:rFonts w:ascii="Times New Roman" w:hAnsi="Times New Roman" w:cs="Times New Roman"/>
          <w:sz w:val="24"/>
          <w:szCs w:val="24"/>
        </w:rPr>
        <w:t xml:space="preserve"> в отношении дрожжевых грибов, в зависимости от вида, может быть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фунгистатической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гидрохлорид глубоко проникает и накапливается в поверхностном слое кожи, что обеспечивает длительный терапевтический эффект.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относится к синтетическим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глюкокортикостероидам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. Механизм действия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заключается в подавлении активности различных разрушающих ткани ферментов – протеаз и нуклеаз, матриксных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металлопротеиназ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гиалуронидазы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фосфолипазы, торможении синтеза простагландинов,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кининов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лейкотриенов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и других медиаторов воспаления из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арахидоновой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кислоты. Обладает противовоспалительным и противоаллергическим действием. Экстракт прополиса оказывает </w:t>
      </w:r>
      <w:proofErr w:type="gramStart"/>
      <w:r w:rsidRPr="00B97048">
        <w:rPr>
          <w:rFonts w:ascii="Times New Roman" w:hAnsi="Times New Roman" w:cs="Times New Roman"/>
          <w:sz w:val="24"/>
          <w:szCs w:val="24"/>
        </w:rPr>
        <w:t>выраженное  бактерицидное</w:t>
      </w:r>
      <w:proofErr w:type="gramEnd"/>
      <w:r w:rsidRPr="00B97048">
        <w:rPr>
          <w:rFonts w:ascii="Times New Roman" w:hAnsi="Times New Roman" w:cs="Times New Roman"/>
          <w:sz w:val="24"/>
          <w:szCs w:val="24"/>
        </w:rPr>
        <w:t xml:space="preserve">, бактериостатическое (подавляет активность и уничтожает широкий спектр микроорганизмов), противогрибковое, ранозаживляющее и успокаивающее действие на кожу животного. </w:t>
      </w:r>
    </w:p>
    <w:p w14:paraId="153BA28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2BD68024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быстро проникает через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дермальный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слой кожи и концентрируется в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липофильном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роговом слое и в секрете сальных желез, что приводит к созданию его высоких концентраций в волосяных фолликулах, волосах и коже.  При местном применении абсорбция не высокая, оказывает незначительное системное действие.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по степени воздействия на организм относится к малоопасным веществам (4 класс опасности по ГОСТ 12.1.007-76) и в рекомендуемых дозах не оказывает местно-раздражающего, резорбтивно-токсического и сенсибилизирующего действия. При попадании в глаза вызывает слабое раздражение.</w:t>
      </w:r>
    </w:p>
    <w:p w14:paraId="5EFEA4EA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A099BEB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применяют для лечения грибковых заболеваний кожи у собак и кошек, вызванных возбудителями дерматомикозов: трихофитии и микроспории, а также дрожжеподобным грибом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Malassezia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furfur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. Препарат применяют животным с 3-х недельного возраста.</w:t>
      </w:r>
    </w:p>
    <w:p w14:paraId="0DAF6A54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D8ED7D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наносят на предварительно очищенную и подсушенную пораженную поверхность кожно-волосяного покрова животного тонким слоем, слегка втирая по направлению от периферии к центру с захватом пограничной здоровой кожи до 1 см. После проведения обработки необходимо принять меры по предотвращению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препарата животным (15-20 минут) для увеличения времени его контакта с кожей.  В течение 24 часов после нанесения препарата животное не следует мыть. Обработку проводят один раз в сутки в течение 10-15 дней до клинического выздоровления, которое подтверждают микроскопическими исследованиями соскобов кожи. </w:t>
      </w:r>
    </w:p>
    <w:p w14:paraId="0BFACC84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Длительность проводимого лечения зависит от показаний и тяжести течения заболевания. Если через 3 недели лечения не отмечается улучшения состояния, необходимо повторно определить возбудителя заболевания и его чувствительность к препарату.</w:t>
      </w:r>
    </w:p>
    <w:p w14:paraId="2F84980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9279A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13882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lastRenderedPageBreak/>
        <w:t>Применение препарата не исключает использования других этиотропных и патогенетических лекарственных средств. В случае пропуска очередной обработки применение препарата возобновляют в той же дозе, по той же схеме. Особенностей действия лекарственного препарата при первом применении и отмене не установлено.</w:t>
      </w:r>
    </w:p>
    <w:p w14:paraId="50719A8F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314336CB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установлено. </w:t>
      </w:r>
    </w:p>
    <w:p w14:paraId="7A99D139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При повышенной индивидуальной чувствительности животного к компонентам препарата </w:t>
      </w:r>
    </w:p>
    <w:p w14:paraId="79FC82D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использование его следует прекратить. </w:t>
      </w:r>
    </w:p>
    <w:p w14:paraId="6734A482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6997FBCC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Повышенная индивидуальная чувствительность к компонентам препарата (в том числе в анамнезе).  Беременность и период лактации. Применение животным моложе 3-х недельного возраста.</w:t>
      </w:r>
    </w:p>
    <w:p w14:paraId="06A3A28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4E9E80E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Не следует применять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одновременно с другими препаратами для местного применения, содержащими кортикостероидные гормоны.</w:t>
      </w:r>
    </w:p>
    <w:p w14:paraId="31C363A0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2FD1BED4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1C928C5B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73216993" w14:textId="4B564B7A" w:rsidR="00B97048" w:rsidRPr="00B97048" w:rsidRDefault="0096162B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Препарат</w:t>
      </w:r>
      <w:bookmarkStart w:id="0" w:name="_GoBack"/>
      <w:bookmarkEnd w:id="0"/>
      <w:r w:rsidR="00B97048" w:rsidRPr="00B97048">
        <w:rPr>
          <w:rFonts w:ascii="Times New Roman" w:hAnsi="Times New Roman" w:cs="Times New Roman"/>
          <w:sz w:val="24"/>
          <w:szCs w:val="24"/>
        </w:rPr>
        <w:t xml:space="preserve"> не предназначен для применения продуктивным животным.</w:t>
      </w:r>
    </w:p>
    <w:p w14:paraId="0DCDE8E8" w14:textId="378A0965" w:rsidR="00B97048" w:rsidRPr="00B97048" w:rsidRDefault="00B97048" w:rsidP="00B9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F6CD137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 следует соблюдать общие правила личной гигиены и техники </w:t>
      </w:r>
    </w:p>
    <w:p w14:paraId="7CA3090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При случайном контакте препарата со слизистыми оболочками глаз необходимо промыть их большим количеством проточной воды. Людям с гиперчувствительностью к компонентам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Фунгивет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крема следует избегать прямого контакта с ним. В случае появления аллергических реакций или при случайном попадании препарата внутрь организма человека необходимо обратиться в медицинское учреждение (при себе иметь инструкцию по применению препарата и этикетку/флакон). Пустые флаконы утилизируют с бытовыми отходами. Неиспользованный препарат утилизируют в соответствии с требованиями законодательства.  Не использовать для бытовых целей пустые флаконы. Применять препарат только по назначению.</w:t>
      </w:r>
    </w:p>
    <w:p w14:paraId="159DB6B9" w14:textId="77777777" w:rsidR="00B97048" w:rsidRPr="00B97048" w:rsidRDefault="00B97048" w:rsidP="00B9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8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5E7789C8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+25°С.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2AEDAECD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</w:t>
      </w:r>
    </w:p>
    <w:p w14:paraId="7B57AC9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lastRenderedPageBreak/>
        <w:t>Хранить в недоступном для детей месте!</w:t>
      </w:r>
    </w:p>
    <w:p w14:paraId="6D84E69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1E8ED825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>», РФ</w:t>
      </w:r>
    </w:p>
    <w:p w14:paraId="6906BA36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B97048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B97048">
        <w:rPr>
          <w:rFonts w:ascii="Times New Roman" w:hAnsi="Times New Roman" w:cs="Times New Roman"/>
          <w:sz w:val="24"/>
          <w:szCs w:val="24"/>
        </w:rPr>
        <w:t xml:space="preserve"> шоссе, владение 4.</w:t>
      </w:r>
    </w:p>
    <w:p w14:paraId="4222A15A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48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B97048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B97048">
        <w:rPr>
          <w:rFonts w:ascii="Times New Roman" w:hAnsi="Times New Roman" w:cs="Times New Roman"/>
          <w:sz w:val="24"/>
          <w:szCs w:val="24"/>
        </w:rPr>
        <w:t>7 (495) 607-67-81.</w:t>
      </w:r>
    </w:p>
    <w:p w14:paraId="4594DD93" w14:textId="77777777" w:rsidR="00B97048" w:rsidRPr="00B97048" w:rsidRDefault="00B97048" w:rsidP="00B97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52F1C" w14:textId="77777777" w:rsidR="00B97048" w:rsidRDefault="00B97048" w:rsidP="00B97048"/>
    <w:p w14:paraId="10ED35CB" w14:textId="77777777" w:rsidR="00B97048" w:rsidRDefault="00B97048" w:rsidP="00B97048">
      <w:r>
        <w:t xml:space="preserve">  </w:t>
      </w:r>
    </w:p>
    <w:p w14:paraId="77356085" w14:textId="77777777" w:rsidR="00B97048" w:rsidRDefault="00B97048" w:rsidP="00B97048"/>
    <w:p w14:paraId="55C4BBDC" w14:textId="77777777" w:rsidR="00B97048" w:rsidRDefault="00B97048" w:rsidP="00B97048"/>
    <w:p w14:paraId="7767D656" w14:textId="77777777" w:rsidR="00B97048" w:rsidRDefault="00B97048" w:rsidP="00B97048"/>
    <w:p w14:paraId="1C00F75E" w14:textId="6596A544" w:rsidR="00B97048" w:rsidRDefault="00B97048" w:rsidP="00B97048">
      <w:r>
        <w:t>www.agrobioprom.com</w:t>
      </w:r>
    </w:p>
    <w:p w14:paraId="4727F90F" w14:textId="77777777" w:rsidR="004A7036" w:rsidRDefault="004A7036"/>
    <w:sectPr w:rsidR="004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6"/>
    <w:rsid w:val="004A7036"/>
    <w:rsid w:val="00895536"/>
    <w:rsid w:val="0096162B"/>
    <w:rsid w:val="00B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473E"/>
  <w15:chartTrackingRefBased/>
  <w15:docId w15:val="{73D8D41C-FB2B-490C-A2F0-FC8278A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2020-03-06T10:38:00Z</dcterms:created>
  <dcterms:modified xsi:type="dcterms:W3CDTF">2020-03-06T10:42:00Z</dcterms:modified>
</cp:coreProperties>
</file>